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93" w:rsidRDefault="00666E7D">
      <w:pPr>
        <w:snapToGrid w:val="0"/>
        <w:spacing w:line="360" w:lineRule="auto"/>
        <w:jc w:val="center"/>
        <w:rPr>
          <w:rFonts w:ascii="宋体"/>
          <w:b/>
          <w:spacing w:val="10"/>
          <w:sz w:val="32"/>
          <w:szCs w:val="32"/>
          <w:u w:val="single"/>
        </w:rPr>
      </w:pPr>
      <w:r>
        <w:rPr>
          <w:rFonts w:ascii="宋体" w:hint="eastAsia"/>
          <w:b/>
          <w:spacing w:val="10"/>
          <w:sz w:val="32"/>
          <w:szCs w:val="32"/>
          <w:u w:val="single"/>
        </w:rPr>
        <w:t>工程量计算规则及单价说明</w:t>
      </w:r>
    </w:p>
    <w:p w:rsidR="00703D93" w:rsidRDefault="00666E7D">
      <w:pPr>
        <w:snapToGrid w:val="0"/>
        <w:spacing w:line="360" w:lineRule="auto"/>
        <w:rPr>
          <w:rFonts w:asciiTheme="majorEastAsia" w:eastAsiaTheme="majorEastAsia" w:hAnsiTheme="majorEastAsia"/>
          <w:b/>
          <w:spacing w:val="10"/>
          <w:szCs w:val="24"/>
          <w:u w:val="single"/>
        </w:rPr>
      </w:pPr>
      <w:r>
        <w:rPr>
          <w:rFonts w:asciiTheme="majorEastAsia" w:eastAsiaTheme="majorEastAsia" w:hAnsiTheme="majorEastAsia" w:hint="eastAsia"/>
          <w:b/>
          <w:spacing w:val="10"/>
          <w:szCs w:val="24"/>
        </w:rPr>
        <w:t>第一部份：</w:t>
      </w:r>
      <w:r>
        <w:rPr>
          <w:rFonts w:asciiTheme="majorEastAsia" w:eastAsiaTheme="majorEastAsia" w:hAnsiTheme="majorEastAsia" w:hint="eastAsia"/>
          <w:b/>
          <w:spacing w:val="10"/>
          <w:szCs w:val="24"/>
          <w:u w:val="single"/>
        </w:rPr>
        <w:t>工程量计算规则说明</w:t>
      </w:r>
    </w:p>
    <w:p w:rsidR="00703D93" w:rsidRDefault="00666E7D">
      <w:pPr>
        <w:pStyle w:val="a5"/>
        <w:numPr>
          <w:ilvl w:val="0"/>
          <w:numId w:val="1"/>
        </w:numPr>
        <w:tabs>
          <w:tab w:val="clear" w:pos="425"/>
          <w:tab w:val="left" w:pos="567"/>
        </w:tabs>
        <w:spacing w:line="360" w:lineRule="auto"/>
        <w:ind w:left="566" w:hangingChars="235" w:hanging="566"/>
        <w:rPr>
          <w:rFonts w:asciiTheme="majorEastAsia" w:eastAsiaTheme="majorEastAsia" w:hAnsiTheme="majorEastAsia" w:cs="Arial"/>
          <w:b/>
          <w:sz w:val="24"/>
          <w:szCs w:val="24"/>
        </w:rPr>
      </w:pPr>
      <w:r>
        <w:rPr>
          <w:rFonts w:asciiTheme="majorEastAsia" w:eastAsiaTheme="majorEastAsia" w:hAnsiTheme="majorEastAsia" w:cs="Arial" w:hint="eastAsia"/>
          <w:b/>
          <w:sz w:val="24"/>
          <w:szCs w:val="24"/>
        </w:rPr>
        <w:t>规则之适用性</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本规则适用于工程进行前工程量清单之编制，亦适用于工程进行中工程变更、签证核算及完成后之决算。</w:t>
      </w:r>
    </w:p>
    <w:p w:rsidR="00703D93" w:rsidRDefault="00666E7D">
      <w:pPr>
        <w:pStyle w:val="a5"/>
        <w:numPr>
          <w:ilvl w:val="0"/>
          <w:numId w:val="1"/>
        </w:numPr>
        <w:tabs>
          <w:tab w:val="clear" w:pos="425"/>
          <w:tab w:val="left" w:pos="567"/>
        </w:tabs>
        <w:spacing w:line="360" w:lineRule="auto"/>
        <w:ind w:left="566" w:hangingChars="235" w:hanging="566"/>
        <w:rPr>
          <w:rFonts w:asciiTheme="majorEastAsia" w:eastAsiaTheme="majorEastAsia" w:hAnsiTheme="majorEastAsia" w:cs="Arial"/>
          <w:b/>
          <w:sz w:val="24"/>
          <w:szCs w:val="24"/>
        </w:rPr>
      </w:pPr>
      <w:r>
        <w:rPr>
          <w:rFonts w:asciiTheme="majorEastAsia" w:eastAsiaTheme="majorEastAsia" w:hAnsiTheme="majorEastAsia" w:cs="Arial" w:hint="eastAsia"/>
          <w:b/>
          <w:sz w:val="24"/>
          <w:szCs w:val="24"/>
        </w:rPr>
        <w:t>计量单位</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除另有说明外，以下计算单位须一致采用：</w:t>
      </w:r>
    </w:p>
    <w:p w:rsidR="00703D93" w:rsidRDefault="00666E7D">
      <w:pPr>
        <w:numPr>
          <w:ilvl w:val="0"/>
          <w:numId w:val="2"/>
        </w:numPr>
        <w:tabs>
          <w:tab w:val="left" w:pos="851"/>
        </w:tabs>
        <w:snapToGrid w:val="0"/>
        <w:spacing w:line="360" w:lineRule="auto"/>
        <w:ind w:left="850"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以重量为单位之项目</w:t>
      </w:r>
      <w:r>
        <w:rPr>
          <w:rFonts w:asciiTheme="majorEastAsia" w:eastAsiaTheme="majorEastAsia" w:hAnsiTheme="majorEastAsia" w:hint="eastAsia"/>
          <w:spacing w:val="10"/>
          <w:szCs w:val="24"/>
        </w:rPr>
        <w:t xml:space="preserve">- </w:t>
      </w:r>
      <w:r>
        <w:rPr>
          <w:rFonts w:asciiTheme="majorEastAsia" w:eastAsiaTheme="majorEastAsia" w:hAnsiTheme="majorEastAsia" w:hint="eastAsia"/>
          <w:spacing w:val="10"/>
          <w:szCs w:val="24"/>
        </w:rPr>
        <w:t>公斤（</w:t>
      </w:r>
      <w:r>
        <w:rPr>
          <w:rFonts w:asciiTheme="majorEastAsia" w:eastAsiaTheme="majorEastAsia" w:hAnsiTheme="majorEastAsia" w:hint="eastAsia"/>
          <w:spacing w:val="10"/>
          <w:szCs w:val="24"/>
        </w:rPr>
        <w:t>kg</w:t>
      </w:r>
      <w:r>
        <w:rPr>
          <w:rFonts w:asciiTheme="majorEastAsia" w:eastAsiaTheme="majorEastAsia" w:hAnsiTheme="majorEastAsia" w:hint="eastAsia"/>
          <w:spacing w:val="10"/>
          <w:szCs w:val="24"/>
        </w:rPr>
        <w:t>）</w:t>
      </w:r>
    </w:p>
    <w:p w:rsidR="00703D93" w:rsidRDefault="00666E7D">
      <w:pPr>
        <w:numPr>
          <w:ilvl w:val="0"/>
          <w:numId w:val="2"/>
        </w:numPr>
        <w:tabs>
          <w:tab w:val="left" w:pos="851"/>
        </w:tabs>
        <w:snapToGrid w:val="0"/>
        <w:spacing w:line="360" w:lineRule="auto"/>
        <w:ind w:left="992" w:hanging="567"/>
        <w:rPr>
          <w:rFonts w:asciiTheme="majorEastAsia" w:eastAsiaTheme="majorEastAsia" w:hAnsiTheme="majorEastAsia"/>
          <w:spacing w:val="10"/>
          <w:szCs w:val="24"/>
        </w:rPr>
      </w:pPr>
      <w:r>
        <w:rPr>
          <w:rFonts w:asciiTheme="majorEastAsia" w:eastAsiaTheme="majorEastAsia" w:hAnsiTheme="majorEastAsia" w:hint="eastAsia"/>
          <w:spacing w:val="10"/>
          <w:szCs w:val="24"/>
        </w:rPr>
        <w:t>以体积为单位之项目</w:t>
      </w:r>
      <w:r>
        <w:rPr>
          <w:rFonts w:asciiTheme="majorEastAsia" w:eastAsiaTheme="majorEastAsia" w:hAnsiTheme="majorEastAsia" w:hint="eastAsia"/>
          <w:spacing w:val="10"/>
          <w:szCs w:val="24"/>
        </w:rPr>
        <w:t xml:space="preserve">- </w:t>
      </w:r>
      <w:r>
        <w:rPr>
          <w:rFonts w:asciiTheme="majorEastAsia" w:eastAsiaTheme="majorEastAsia" w:hAnsiTheme="majorEastAsia" w:hint="eastAsia"/>
          <w:spacing w:val="10"/>
          <w:szCs w:val="24"/>
        </w:rPr>
        <w:t>立方米（</w:t>
      </w:r>
      <w:r>
        <w:rPr>
          <w:rFonts w:asciiTheme="majorEastAsia" w:eastAsiaTheme="majorEastAsia" w:hAnsiTheme="majorEastAsia" w:hint="eastAsia"/>
          <w:spacing w:val="10"/>
          <w:szCs w:val="24"/>
        </w:rPr>
        <w:t>m3</w:t>
      </w:r>
      <w:r>
        <w:rPr>
          <w:rFonts w:asciiTheme="majorEastAsia" w:eastAsiaTheme="majorEastAsia" w:hAnsiTheme="majorEastAsia" w:hint="eastAsia"/>
          <w:spacing w:val="10"/>
          <w:szCs w:val="24"/>
        </w:rPr>
        <w:t>）</w:t>
      </w:r>
    </w:p>
    <w:p w:rsidR="00703D93" w:rsidRDefault="00666E7D">
      <w:pPr>
        <w:numPr>
          <w:ilvl w:val="0"/>
          <w:numId w:val="2"/>
        </w:numPr>
        <w:tabs>
          <w:tab w:val="left" w:pos="851"/>
        </w:tabs>
        <w:snapToGrid w:val="0"/>
        <w:spacing w:line="360" w:lineRule="auto"/>
        <w:ind w:left="992" w:hanging="567"/>
        <w:rPr>
          <w:rFonts w:asciiTheme="majorEastAsia" w:eastAsiaTheme="majorEastAsia" w:hAnsiTheme="majorEastAsia"/>
          <w:spacing w:val="10"/>
          <w:szCs w:val="24"/>
        </w:rPr>
      </w:pPr>
      <w:r>
        <w:rPr>
          <w:rFonts w:asciiTheme="majorEastAsia" w:eastAsiaTheme="majorEastAsia" w:hAnsiTheme="majorEastAsia" w:hint="eastAsia"/>
          <w:spacing w:val="10"/>
          <w:szCs w:val="24"/>
        </w:rPr>
        <w:t>以面积为单位之项目</w:t>
      </w:r>
      <w:r>
        <w:rPr>
          <w:rFonts w:asciiTheme="majorEastAsia" w:eastAsiaTheme="majorEastAsia" w:hAnsiTheme="majorEastAsia" w:hint="eastAsia"/>
          <w:spacing w:val="10"/>
          <w:szCs w:val="24"/>
        </w:rPr>
        <w:t xml:space="preserve">- </w:t>
      </w:r>
      <w:r>
        <w:rPr>
          <w:rFonts w:asciiTheme="majorEastAsia" w:eastAsiaTheme="majorEastAsia" w:hAnsiTheme="majorEastAsia" w:hint="eastAsia"/>
          <w:spacing w:val="10"/>
          <w:szCs w:val="24"/>
        </w:rPr>
        <w:t>平方米（</w:t>
      </w:r>
      <w:r>
        <w:rPr>
          <w:rFonts w:asciiTheme="majorEastAsia" w:eastAsiaTheme="majorEastAsia" w:hAnsiTheme="majorEastAsia" w:hint="eastAsia"/>
          <w:spacing w:val="10"/>
          <w:szCs w:val="24"/>
        </w:rPr>
        <w:t>m2</w:t>
      </w:r>
      <w:r>
        <w:rPr>
          <w:rFonts w:asciiTheme="majorEastAsia" w:eastAsiaTheme="majorEastAsia" w:hAnsiTheme="majorEastAsia" w:hint="eastAsia"/>
          <w:spacing w:val="10"/>
          <w:szCs w:val="24"/>
        </w:rPr>
        <w:t>）</w:t>
      </w:r>
    </w:p>
    <w:p w:rsidR="00703D93" w:rsidRDefault="00666E7D">
      <w:pPr>
        <w:numPr>
          <w:ilvl w:val="0"/>
          <w:numId w:val="2"/>
        </w:numPr>
        <w:tabs>
          <w:tab w:val="left" w:pos="851"/>
        </w:tabs>
        <w:snapToGrid w:val="0"/>
        <w:spacing w:line="360" w:lineRule="auto"/>
        <w:ind w:left="992" w:hanging="567"/>
        <w:rPr>
          <w:rFonts w:asciiTheme="majorEastAsia" w:eastAsiaTheme="majorEastAsia" w:hAnsiTheme="majorEastAsia"/>
          <w:spacing w:val="10"/>
          <w:szCs w:val="24"/>
        </w:rPr>
      </w:pPr>
      <w:r>
        <w:rPr>
          <w:rFonts w:asciiTheme="majorEastAsia" w:eastAsiaTheme="majorEastAsia" w:hAnsiTheme="majorEastAsia" w:hint="eastAsia"/>
          <w:spacing w:val="10"/>
          <w:szCs w:val="24"/>
        </w:rPr>
        <w:t>以长度为单位之项目</w:t>
      </w:r>
      <w:r>
        <w:rPr>
          <w:rFonts w:asciiTheme="majorEastAsia" w:eastAsiaTheme="majorEastAsia" w:hAnsiTheme="majorEastAsia" w:hint="eastAsia"/>
          <w:spacing w:val="10"/>
          <w:szCs w:val="24"/>
        </w:rPr>
        <w:t xml:space="preserve">- </w:t>
      </w:r>
      <w:r>
        <w:rPr>
          <w:rFonts w:asciiTheme="majorEastAsia" w:eastAsiaTheme="majorEastAsia" w:hAnsiTheme="majorEastAsia" w:hint="eastAsia"/>
          <w:spacing w:val="10"/>
          <w:szCs w:val="24"/>
        </w:rPr>
        <w:t>米（</w:t>
      </w:r>
      <w:r>
        <w:rPr>
          <w:rFonts w:asciiTheme="majorEastAsia" w:eastAsiaTheme="majorEastAsia" w:hAnsiTheme="majorEastAsia" w:hint="eastAsia"/>
          <w:spacing w:val="10"/>
          <w:szCs w:val="24"/>
        </w:rPr>
        <w:t>m</w:t>
      </w:r>
      <w:r>
        <w:rPr>
          <w:rFonts w:asciiTheme="majorEastAsia" w:eastAsiaTheme="majorEastAsia" w:hAnsiTheme="majorEastAsia" w:hint="eastAsia"/>
          <w:spacing w:val="10"/>
          <w:szCs w:val="24"/>
        </w:rPr>
        <w:t>）</w:t>
      </w:r>
    </w:p>
    <w:p w:rsidR="00703D93" w:rsidRDefault="00666E7D">
      <w:pPr>
        <w:numPr>
          <w:ilvl w:val="0"/>
          <w:numId w:val="2"/>
        </w:numPr>
        <w:tabs>
          <w:tab w:val="left" w:pos="851"/>
        </w:tabs>
        <w:snapToGrid w:val="0"/>
        <w:spacing w:line="360" w:lineRule="auto"/>
        <w:ind w:left="992" w:hanging="567"/>
        <w:rPr>
          <w:rFonts w:asciiTheme="majorEastAsia" w:eastAsiaTheme="majorEastAsia" w:hAnsiTheme="majorEastAsia"/>
          <w:spacing w:val="10"/>
          <w:szCs w:val="24"/>
        </w:rPr>
      </w:pPr>
      <w:r>
        <w:rPr>
          <w:rFonts w:asciiTheme="majorEastAsia" w:eastAsiaTheme="majorEastAsia" w:hAnsiTheme="majorEastAsia" w:hint="eastAsia"/>
          <w:spacing w:val="10"/>
          <w:szCs w:val="24"/>
        </w:rPr>
        <w:t>以套为单位之项目</w:t>
      </w:r>
      <w:r>
        <w:rPr>
          <w:rFonts w:asciiTheme="majorEastAsia" w:eastAsiaTheme="majorEastAsia" w:hAnsiTheme="majorEastAsia" w:hint="eastAsia"/>
          <w:spacing w:val="10"/>
          <w:szCs w:val="24"/>
        </w:rPr>
        <w:t xml:space="preserve">  - </w:t>
      </w:r>
      <w:r>
        <w:rPr>
          <w:rFonts w:asciiTheme="majorEastAsia" w:eastAsiaTheme="majorEastAsia" w:hAnsiTheme="majorEastAsia" w:hint="eastAsia"/>
          <w:spacing w:val="10"/>
          <w:szCs w:val="24"/>
        </w:rPr>
        <w:t>套（</w:t>
      </w:r>
      <w:r>
        <w:rPr>
          <w:rFonts w:asciiTheme="majorEastAsia" w:eastAsiaTheme="majorEastAsia" w:hAnsiTheme="majorEastAsia" w:hint="eastAsia"/>
          <w:spacing w:val="10"/>
          <w:szCs w:val="24"/>
        </w:rPr>
        <w:t>Set</w:t>
      </w:r>
      <w:r>
        <w:rPr>
          <w:rFonts w:asciiTheme="majorEastAsia" w:eastAsiaTheme="majorEastAsia" w:hAnsiTheme="majorEastAsia" w:hint="eastAsia"/>
          <w:spacing w:val="10"/>
          <w:szCs w:val="24"/>
        </w:rPr>
        <w:t>）</w:t>
      </w:r>
    </w:p>
    <w:p w:rsidR="00703D93" w:rsidRDefault="00666E7D">
      <w:pPr>
        <w:numPr>
          <w:ilvl w:val="0"/>
          <w:numId w:val="2"/>
        </w:numPr>
        <w:tabs>
          <w:tab w:val="left" w:pos="851"/>
        </w:tabs>
        <w:snapToGrid w:val="0"/>
        <w:spacing w:line="360" w:lineRule="auto"/>
        <w:ind w:left="992" w:hanging="567"/>
        <w:rPr>
          <w:rFonts w:asciiTheme="majorEastAsia" w:eastAsiaTheme="majorEastAsia" w:hAnsiTheme="majorEastAsia"/>
          <w:spacing w:val="10"/>
          <w:szCs w:val="24"/>
        </w:rPr>
      </w:pPr>
      <w:r>
        <w:rPr>
          <w:rFonts w:asciiTheme="majorEastAsia" w:eastAsiaTheme="majorEastAsia" w:hAnsiTheme="majorEastAsia" w:hint="eastAsia"/>
          <w:spacing w:val="10"/>
          <w:szCs w:val="24"/>
        </w:rPr>
        <w:t>以件为单位之项目</w:t>
      </w:r>
      <w:r>
        <w:rPr>
          <w:rFonts w:asciiTheme="majorEastAsia" w:eastAsiaTheme="majorEastAsia" w:hAnsiTheme="majorEastAsia" w:hint="eastAsia"/>
          <w:spacing w:val="10"/>
          <w:szCs w:val="24"/>
        </w:rPr>
        <w:t xml:space="preserve">  - </w:t>
      </w:r>
      <w:r>
        <w:rPr>
          <w:rFonts w:asciiTheme="majorEastAsia" w:eastAsiaTheme="majorEastAsia" w:hAnsiTheme="majorEastAsia" w:hint="eastAsia"/>
          <w:spacing w:val="10"/>
          <w:szCs w:val="24"/>
        </w:rPr>
        <w:t>数量（</w:t>
      </w:r>
      <w:r>
        <w:rPr>
          <w:rFonts w:asciiTheme="majorEastAsia" w:eastAsiaTheme="majorEastAsia" w:hAnsiTheme="majorEastAsia" w:hint="eastAsia"/>
          <w:spacing w:val="10"/>
          <w:szCs w:val="24"/>
        </w:rPr>
        <w:t>No.</w:t>
      </w:r>
      <w:r>
        <w:rPr>
          <w:rFonts w:asciiTheme="majorEastAsia" w:eastAsiaTheme="majorEastAsia" w:hAnsiTheme="majorEastAsia" w:hint="eastAsia"/>
          <w:spacing w:val="10"/>
          <w:szCs w:val="24"/>
        </w:rPr>
        <w:t>）</w:t>
      </w:r>
    </w:p>
    <w:p w:rsidR="00703D93" w:rsidRDefault="00666E7D">
      <w:pPr>
        <w:numPr>
          <w:ilvl w:val="0"/>
          <w:numId w:val="2"/>
        </w:numPr>
        <w:tabs>
          <w:tab w:val="left" w:pos="851"/>
        </w:tabs>
        <w:snapToGrid w:val="0"/>
        <w:spacing w:line="360" w:lineRule="auto"/>
        <w:ind w:left="992" w:hanging="567"/>
        <w:rPr>
          <w:rFonts w:asciiTheme="majorEastAsia" w:eastAsiaTheme="majorEastAsia" w:hAnsiTheme="majorEastAsia"/>
          <w:spacing w:val="10"/>
          <w:szCs w:val="24"/>
        </w:rPr>
      </w:pPr>
      <w:r>
        <w:rPr>
          <w:rFonts w:asciiTheme="majorEastAsia" w:eastAsiaTheme="majorEastAsia" w:hAnsiTheme="majorEastAsia" w:hint="eastAsia"/>
          <w:spacing w:val="10"/>
          <w:szCs w:val="24"/>
        </w:rPr>
        <w:t>没有数量之项目</w:t>
      </w:r>
      <w:r>
        <w:rPr>
          <w:rFonts w:asciiTheme="majorEastAsia" w:eastAsiaTheme="majorEastAsia" w:hAnsiTheme="majorEastAsia" w:hint="eastAsia"/>
          <w:spacing w:val="10"/>
          <w:szCs w:val="24"/>
        </w:rPr>
        <w:t xml:space="preserve">    - </w:t>
      </w:r>
      <w:r>
        <w:rPr>
          <w:rFonts w:asciiTheme="majorEastAsia" w:eastAsiaTheme="majorEastAsia" w:hAnsiTheme="majorEastAsia" w:hint="eastAsia"/>
          <w:spacing w:val="10"/>
          <w:szCs w:val="24"/>
        </w:rPr>
        <w:t>项目（</w:t>
      </w:r>
      <w:r>
        <w:rPr>
          <w:rFonts w:asciiTheme="majorEastAsia" w:eastAsiaTheme="majorEastAsia" w:hAnsiTheme="majorEastAsia" w:hint="eastAsia"/>
          <w:spacing w:val="10"/>
          <w:szCs w:val="24"/>
        </w:rPr>
        <w:t>Item</w:t>
      </w:r>
      <w:r>
        <w:rPr>
          <w:rFonts w:asciiTheme="majorEastAsia" w:eastAsiaTheme="majorEastAsia" w:hAnsiTheme="majorEastAsia" w:hint="eastAsia"/>
          <w:spacing w:val="10"/>
          <w:szCs w:val="24"/>
        </w:rPr>
        <w:t>）</w:t>
      </w:r>
    </w:p>
    <w:p w:rsidR="00703D93" w:rsidRDefault="00666E7D">
      <w:pPr>
        <w:pStyle w:val="a5"/>
        <w:numPr>
          <w:ilvl w:val="0"/>
          <w:numId w:val="1"/>
        </w:numPr>
        <w:tabs>
          <w:tab w:val="clear" w:pos="425"/>
          <w:tab w:val="left" w:pos="567"/>
        </w:tabs>
        <w:spacing w:line="360" w:lineRule="auto"/>
        <w:ind w:left="566" w:hangingChars="235" w:hanging="566"/>
        <w:rPr>
          <w:rFonts w:asciiTheme="majorEastAsia" w:eastAsiaTheme="majorEastAsia" w:hAnsiTheme="majorEastAsia" w:cs="Arial"/>
          <w:b/>
          <w:sz w:val="24"/>
          <w:szCs w:val="24"/>
        </w:rPr>
      </w:pPr>
      <w:r>
        <w:rPr>
          <w:rFonts w:asciiTheme="majorEastAsia" w:eastAsiaTheme="majorEastAsia" w:hAnsiTheme="majorEastAsia" w:cs="Arial" w:hint="eastAsia"/>
          <w:b/>
          <w:sz w:val="24"/>
          <w:szCs w:val="24"/>
        </w:rPr>
        <w:t>计算净量</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除另有说明外，工程量之计算须为完成后之净量。</w:t>
      </w:r>
    </w:p>
    <w:p w:rsidR="00703D93" w:rsidRDefault="00666E7D">
      <w:pPr>
        <w:pStyle w:val="a5"/>
        <w:numPr>
          <w:ilvl w:val="0"/>
          <w:numId w:val="1"/>
        </w:numPr>
        <w:tabs>
          <w:tab w:val="clear" w:pos="425"/>
          <w:tab w:val="left" w:pos="567"/>
        </w:tabs>
        <w:spacing w:line="360" w:lineRule="auto"/>
        <w:ind w:left="566" w:hangingChars="235" w:hanging="566"/>
        <w:rPr>
          <w:rFonts w:asciiTheme="majorEastAsia" w:eastAsiaTheme="majorEastAsia" w:hAnsiTheme="majorEastAsia" w:cs="Arial"/>
          <w:b/>
          <w:sz w:val="24"/>
          <w:szCs w:val="24"/>
        </w:rPr>
      </w:pPr>
      <w:r>
        <w:rPr>
          <w:rFonts w:asciiTheme="majorEastAsia" w:eastAsiaTheme="majorEastAsia" w:hAnsiTheme="majorEastAsia" w:cs="Arial" w:hint="eastAsia"/>
          <w:b/>
          <w:sz w:val="24"/>
          <w:szCs w:val="24"/>
        </w:rPr>
        <w:t>最小量之扣除</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有关最小空位之扣除，是指与边界线不相连之空位。</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由部分边界线向外伸展而成之空位，不论大小，必须扣除。</w:t>
      </w:r>
    </w:p>
    <w:p w:rsidR="00703D93" w:rsidRDefault="00666E7D">
      <w:pPr>
        <w:pStyle w:val="a5"/>
        <w:numPr>
          <w:ilvl w:val="0"/>
          <w:numId w:val="1"/>
        </w:numPr>
        <w:tabs>
          <w:tab w:val="clear" w:pos="425"/>
          <w:tab w:val="left" w:pos="567"/>
        </w:tabs>
        <w:spacing w:line="360" w:lineRule="auto"/>
        <w:ind w:left="566" w:hangingChars="235" w:hanging="566"/>
        <w:rPr>
          <w:rFonts w:asciiTheme="majorEastAsia" w:eastAsiaTheme="majorEastAsia" w:hAnsiTheme="majorEastAsia" w:cs="Arial"/>
          <w:b/>
          <w:sz w:val="24"/>
          <w:szCs w:val="24"/>
        </w:rPr>
      </w:pPr>
      <w:r>
        <w:rPr>
          <w:rFonts w:asciiTheme="majorEastAsia" w:eastAsiaTheme="majorEastAsia" w:hAnsiTheme="majorEastAsia" w:cs="Arial" w:hint="eastAsia"/>
          <w:b/>
          <w:sz w:val="24"/>
          <w:szCs w:val="24"/>
        </w:rPr>
        <w:t>弧度工程</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弧度工程须分别说明，但不分弧度大小。</w:t>
      </w:r>
    </w:p>
    <w:p w:rsidR="00703D93" w:rsidRDefault="00703D93">
      <w:pPr>
        <w:snapToGrid w:val="0"/>
        <w:spacing w:line="360" w:lineRule="auto"/>
        <w:ind w:left="425"/>
        <w:rPr>
          <w:rFonts w:asciiTheme="majorEastAsia" w:eastAsiaTheme="majorEastAsia" w:hAnsiTheme="majorEastAsia"/>
          <w:spacing w:val="10"/>
          <w:szCs w:val="24"/>
        </w:rPr>
      </w:pPr>
    </w:p>
    <w:p w:rsidR="00703D93" w:rsidRDefault="00666E7D">
      <w:pPr>
        <w:snapToGrid w:val="0"/>
        <w:spacing w:line="360" w:lineRule="auto"/>
        <w:ind w:leftChars="-176" w:left="1" w:hangingChars="162" w:hanging="423"/>
        <w:rPr>
          <w:rFonts w:asciiTheme="majorEastAsia" w:eastAsiaTheme="majorEastAsia" w:hAnsiTheme="majorEastAsia"/>
          <w:spacing w:val="10"/>
          <w:szCs w:val="24"/>
        </w:rPr>
      </w:pPr>
      <w:r>
        <w:rPr>
          <w:rFonts w:asciiTheme="majorEastAsia" w:eastAsiaTheme="majorEastAsia" w:hAnsiTheme="majorEastAsia" w:hint="eastAsia"/>
          <w:b/>
          <w:spacing w:val="10"/>
          <w:szCs w:val="24"/>
        </w:rPr>
        <w:t>第二部分：</w:t>
      </w:r>
      <w:r>
        <w:rPr>
          <w:rFonts w:asciiTheme="majorEastAsia" w:eastAsiaTheme="majorEastAsia" w:hAnsiTheme="majorEastAsia" w:hint="eastAsia"/>
          <w:b/>
          <w:spacing w:val="10"/>
          <w:szCs w:val="24"/>
          <w:u w:val="single"/>
        </w:rPr>
        <w:t>单价说明</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投价依据</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投标图纸、国家与地方现行规范、工程量计算规则及单价说明、工程量清单中的项目说明等应一并参阅并据此投价。</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修复</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“修复”一词包括在损坏地方加以修补至与周围同样工程有一样表面、颜色、纹理等所需之所有人工及材料，并包括油漆、着色、及</w:t>
      </w:r>
      <w:r>
        <w:rPr>
          <w:rFonts w:asciiTheme="majorEastAsia" w:eastAsiaTheme="majorEastAsia" w:hAnsiTheme="majorEastAsia" w:hint="eastAsia"/>
          <w:spacing w:val="10"/>
          <w:szCs w:val="24"/>
        </w:rPr>
        <w:t>/</w:t>
      </w:r>
      <w:r>
        <w:rPr>
          <w:rFonts w:asciiTheme="majorEastAsia" w:eastAsiaTheme="majorEastAsia" w:hAnsiTheme="majorEastAsia" w:hint="eastAsia"/>
          <w:spacing w:val="10"/>
          <w:szCs w:val="24"/>
        </w:rPr>
        <w:t>或在新</w:t>
      </w:r>
      <w:r>
        <w:rPr>
          <w:rFonts w:asciiTheme="majorEastAsia" w:eastAsiaTheme="majorEastAsia" w:hAnsiTheme="majorEastAsia" w:hint="eastAsia"/>
          <w:spacing w:val="10"/>
          <w:szCs w:val="24"/>
        </w:rPr>
        <w:lastRenderedPageBreak/>
        <w:t>工程刷清漆至与周围现存工程相称，令业主</w:t>
      </w:r>
      <w:r>
        <w:rPr>
          <w:rFonts w:asciiTheme="majorEastAsia" w:eastAsiaTheme="majorEastAsia" w:hAnsiTheme="majorEastAsia" w:hint="eastAsia"/>
          <w:spacing w:val="10"/>
          <w:szCs w:val="24"/>
        </w:rPr>
        <w:t>/</w:t>
      </w:r>
      <w:r>
        <w:rPr>
          <w:rFonts w:asciiTheme="majorEastAsia" w:eastAsiaTheme="majorEastAsia" w:hAnsiTheme="majorEastAsia" w:hint="eastAsia"/>
          <w:spacing w:val="10"/>
          <w:szCs w:val="24"/>
        </w:rPr>
        <w:t>监理单位</w:t>
      </w:r>
      <w:r>
        <w:rPr>
          <w:rFonts w:asciiTheme="majorEastAsia" w:eastAsiaTheme="majorEastAsia" w:hAnsiTheme="majorEastAsia" w:hint="eastAsia"/>
          <w:spacing w:val="10"/>
          <w:szCs w:val="24"/>
        </w:rPr>
        <w:t>/</w:t>
      </w:r>
      <w:r>
        <w:rPr>
          <w:rFonts w:asciiTheme="majorEastAsia" w:eastAsiaTheme="majorEastAsia" w:hAnsiTheme="majorEastAsia" w:hint="eastAsia"/>
          <w:spacing w:val="10"/>
          <w:szCs w:val="24"/>
        </w:rPr>
        <w:t>总承包人完全满意。</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如所述</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在工程量清单说明中出现“如所述”字样是指有关之工程规范及单价说明所要求之材料及施工质量标准。</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如前所述</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说明中包括“如前所述”字样是简化了工程量清单中曾经出现之相同项目说明。</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认可</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“批准”、“认可”、“指示”等词语是指由业主或业主授权的机构如设计单位、监理单位或总承包人发出之批准或指示。对承包人所提议</w:t>
      </w:r>
      <w:r>
        <w:rPr>
          <w:rFonts w:asciiTheme="majorEastAsia" w:eastAsiaTheme="majorEastAsia" w:hAnsiTheme="majorEastAsia" w:hint="eastAsia"/>
          <w:spacing w:val="10"/>
          <w:szCs w:val="24"/>
        </w:rPr>
        <w:t>的替用物料及工艺方法，业主有权考虑接纳。承包人不能使用没有被业主认可的替用物料及工艺方法。上述之认可，不一定表示会有额外的经济补偿，除非此等费用在认可前已获批准。在任何情况下，上述之认可不会解除承包人在合同上的责任。</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重叠量</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除非工程量计算规则有特别规定，工程量中将不包括任何重叠量。材料如钢丝、配筋、柔性垫料及类似材料须有要求程度之重叠，投价须已包括此等重叠量。</w:t>
      </w:r>
    </w:p>
    <w:p w:rsidR="00703D93" w:rsidRDefault="00666E7D">
      <w:pPr>
        <w:numPr>
          <w:ilvl w:val="0"/>
          <w:numId w:val="3"/>
        </w:numPr>
        <w:snapToGrid w:val="0"/>
        <w:spacing w:line="360" w:lineRule="auto"/>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单价说明适用于全部工程量清单</w:t>
      </w:r>
    </w:p>
    <w:p w:rsidR="00703D93" w:rsidRDefault="00666E7D">
      <w:pPr>
        <w:snapToGrid w:val="0"/>
        <w:spacing w:line="360" w:lineRule="auto"/>
        <w:ind w:left="425"/>
        <w:rPr>
          <w:rFonts w:asciiTheme="majorEastAsia" w:eastAsiaTheme="majorEastAsia" w:hAnsiTheme="majorEastAsia"/>
          <w:spacing w:val="10"/>
          <w:szCs w:val="24"/>
        </w:rPr>
      </w:pPr>
      <w:r>
        <w:rPr>
          <w:rFonts w:asciiTheme="majorEastAsia" w:eastAsiaTheme="majorEastAsia" w:hAnsiTheme="majorEastAsia" w:hint="eastAsia"/>
          <w:spacing w:val="10"/>
          <w:szCs w:val="24"/>
        </w:rPr>
        <w:t>单价说明适用于工程量清单中所有项目，不论其所属那一类工程。</w:t>
      </w:r>
    </w:p>
    <w:p w:rsidR="00703D93" w:rsidRDefault="00666E7D">
      <w:pPr>
        <w:numPr>
          <w:ilvl w:val="0"/>
          <w:numId w:val="3"/>
        </w:numPr>
        <w:tabs>
          <w:tab w:val="left" w:pos="567"/>
        </w:tabs>
        <w:snapToGrid w:val="0"/>
        <w:spacing w:line="360" w:lineRule="auto"/>
        <w:ind w:left="567" w:hanging="567"/>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公制</w:t>
      </w:r>
      <w:r>
        <w:rPr>
          <w:rFonts w:asciiTheme="majorEastAsia" w:eastAsiaTheme="majorEastAsia" w:hAnsiTheme="majorEastAsia" w:hint="eastAsia"/>
          <w:b/>
          <w:spacing w:val="10"/>
          <w:szCs w:val="24"/>
        </w:rPr>
        <w:t>/</w:t>
      </w:r>
      <w:r>
        <w:rPr>
          <w:rFonts w:asciiTheme="majorEastAsia" w:eastAsiaTheme="majorEastAsia" w:hAnsiTheme="majorEastAsia" w:hint="eastAsia"/>
          <w:b/>
          <w:spacing w:val="10"/>
          <w:szCs w:val="24"/>
        </w:rPr>
        <w:t>英制尺寸</w:t>
      </w:r>
    </w:p>
    <w:p w:rsidR="00703D93" w:rsidRDefault="00666E7D">
      <w:pPr>
        <w:snapToGrid w:val="0"/>
        <w:spacing w:line="360" w:lineRule="auto"/>
        <w:ind w:left="567"/>
        <w:rPr>
          <w:rFonts w:asciiTheme="majorEastAsia" w:eastAsiaTheme="majorEastAsia" w:hAnsiTheme="majorEastAsia"/>
          <w:spacing w:val="10"/>
          <w:szCs w:val="24"/>
        </w:rPr>
      </w:pPr>
      <w:r>
        <w:rPr>
          <w:rFonts w:asciiTheme="majorEastAsia" w:eastAsiaTheme="majorEastAsia" w:hAnsiTheme="majorEastAsia" w:hint="eastAsia"/>
          <w:spacing w:val="10"/>
          <w:szCs w:val="24"/>
        </w:rPr>
        <w:t>若没有所述物件之公制尺寸供应，投标人须在投价中包括以最接近高一级之英制尺寸物件代替所述公制尺寸物件。</w:t>
      </w:r>
    </w:p>
    <w:p w:rsidR="00703D93" w:rsidRDefault="00666E7D">
      <w:pPr>
        <w:numPr>
          <w:ilvl w:val="0"/>
          <w:numId w:val="3"/>
        </w:numPr>
        <w:tabs>
          <w:tab w:val="left" w:pos="567"/>
        </w:tabs>
        <w:snapToGrid w:val="0"/>
        <w:spacing w:line="360" w:lineRule="auto"/>
        <w:ind w:left="567" w:hanging="567"/>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弧形工程</w:t>
      </w:r>
    </w:p>
    <w:p w:rsidR="00703D93" w:rsidRDefault="00666E7D">
      <w:pPr>
        <w:snapToGrid w:val="0"/>
        <w:spacing w:line="360" w:lineRule="auto"/>
        <w:ind w:left="567"/>
        <w:rPr>
          <w:rFonts w:asciiTheme="majorEastAsia" w:eastAsiaTheme="majorEastAsia" w:hAnsiTheme="majorEastAsia"/>
          <w:spacing w:val="10"/>
          <w:szCs w:val="24"/>
        </w:rPr>
      </w:pPr>
      <w:r>
        <w:rPr>
          <w:rFonts w:asciiTheme="majorEastAsia" w:eastAsiaTheme="majorEastAsia" w:hAnsiTheme="majorEastAsia" w:hint="eastAsia"/>
          <w:spacing w:val="10"/>
          <w:szCs w:val="24"/>
        </w:rPr>
        <w:t>基本上依据前述第一部分第</w:t>
      </w:r>
      <w:r>
        <w:rPr>
          <w:rFonts w:asciiTheme="majorEastAsia" w:eastAsiaTheme="majorEastAsia" w:hAnsiTheme="majorEastAsia" w:hint="eastAsia"/>
          <w:spacing w:val="10"/>
          <w:szCs w:val="24"/>
        </w:rPr>
        <w:t>6</w:t>
      </w:r>
      <w:r>
        <w:rPr>
          <w:rFonts w:asciiTheme="majorEastAsia" w:eastAsiaTheme="majorEastAsia" w:hAnsiTheme="majorEastAsia" w:hint="eastAsia"/>
          <w:spacing w:val="10"/>
          <w:szCs w:val="24"/>
        </w:rPr>
        <w:t>条之规定说明弧形工程，但所有半径超过</w:t>
      </w:r>
      <w:r>
        <w:rPr>
          <w:rFonts w:asciiTheme="majorEastAsia" w:eastAsiaTheme="majorEastAsia" w:hAnsiTheme="majorEastAsia" w:hint="eastAsia"/>
          <w:spacing w:val="10"/>
          <w:szCs w:val="24"/>
        </w:rPr>
        <w:t>12m</w:t>
      </w:r>
      <w:r>
        <w:rPr>
          <w:rFonts w:asciiTheme="majorEastAsia" w:eastAsiaTheme="majorEastAsia" w:hAnsiTheme="majorEastAsia" w:hint="eastAsia"/>
          <w:spacing w:val="10"/>
          <w:szCs w:val="24"/>
        </w:rPr>
        <w:t>之弧形工程则当直线计算。</w:t>
      </w:r>
    </w:p>
    <w:p w:rsidR="00703D93" w:rsidRDefault="00666E7D">
      <w:pPr>
        <w:numPr>
          <w:ilvl w:val="0"/>
          <w:numId w:val="3"/>
        </w:numPr>
        <w:tabs>
          <w:tab w:val="left" w:pos="567"/>
        </w:tabs>
        <w:snapToGrid w:val="0"/>
        <w:spacing w:line="360" w:lineRule="auto"/>
        <w:ind w:left="567" w:hanging="567"/>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所有项目单价应已包括：</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人工及所有有关费用。</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材料、物品及所有有关费用（如：运输、交货、卸货、储存、包</w:t>
      </w:r>
      <w:r>
        <w:rPr>
          <w:rFonts w:asciiTheme="majorEastAsia" w:eastAsiaTheme="majorEastAsia" w:hAnsiTheme="majorEastAsia" w:hint="eastAsia"/>
          <w:spacing w:val="10"/>
          <w:szCs w:val="24"/>
        </w:rPr>
        <w:lastRenderedPageBreak/>
        <w:t>装退还、使用、提升、放置）。</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装配用之材料及物品。</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使用机械。</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所有裁切及损耗。</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现场及承包人公司管理费。</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保险。</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风险费及利润。</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税金及政府规定的任何收费。</w:t>
      </w:r>
    </w:p>
    <w:p w:rsidR="00703D93" w:rsidRDefault="00666E7D">
      <w:pPr>
        <w:numPr>
          <w:ilvl w:val="0"/>
          <w:numId w:val="4"/>
        </w:numPr>
        <w:tabs>
          <w:tab w:val="left" w:pos="992"/>
        </w:tabs>
        <w:snapToGrid w:val="0"/>
        <w:spacing w:line="360" w:lineRule="auto"/>
        <w:ind w:left="992" w:hanging="425"/>
        <w:rPr>
          <w:rFonts w:asciiTheme="majorEastAsia" w:eastAsiaTheme="majorEastAsia" w:hAnsiTheme="majorEastAsia"/>
          <w:spacing w:val="10"/>
          <w:szCs w:val="24"/>
        </w:rPr>
      </w:pPr>
      <w:r>
        <w:rPr>
          <w:rFonts w:asciiTheme="majorEastAsia" w:eastAsiaTheme="majorEastAsia" w:hAnsiTheme="majorEastAsia" w:hint="eastAsia"/>
          <w:spacing w:val="10"/>
          <w:szCs w:val="24"/>
        </w:rPr>
        <w:t>产生的措施费用、规费、检测费等可能涉及到的相</w:t>
      </w:r>
      <w:r>
        <w:rPr>
          <w:rFonts w:asciiTheme="majorEastAsia" w:eastAsiaTheme="majorEastAsia" w:hAnsiTheme="majorEastAsia" w:hint="eastAsia"/>
          <w:spacing w:val="10"/>
          <w:szCs w:val="24"/>
        </w:rPr>
        <w:t>关费用。</w:t>
      </w:r>
    </w:p>
    <w:p w:rsidR="00703D93" w:rsidRDefault="00703D93">
      <w:pPr>
        <w:snapToGrid w:val="0"/>
        <w:spacing w:line="360" w:lineRule="auto"/>
        <w:rPr>
          <w:rFonts w:asciiTheme="majorEastAsia" w:eastAsiaTheme="majorEastAsia" w:hAnsiTheme="majorEastAsia"/>
          <w:b/>
          <w:spacing w:val="10"/>
          <w:szCs w:val="24"/>
        </w:rPr>
      </w:pPr>
    </w:p>
    <w:p w:rsidR="00703D93" w:rsidRDefault="00666E7D">
      <w:pPr>
        <w:numPr>
          <w:ilvl w:val="0"/>
          <w:numId w:val="5"/>
        </w:numPr>
        <w:rPr>
          <w:rFonts w:asciiTheme="majorEastAsia" w:eastAsiaTheme="majorEastAsia" w:hAnsiTheme="majorEastAsia"/>
          <w:b/>
          <w:spacing w:val="10"/>
          <w:szCs w:val="24"/>
        </w:rPr>
      </w:pPr>
      <w:r>
        <w:rPr>
          <w:rFonts w:asciiTheme="majorEastAsia" w:eastAsiaTheme="majorEastAsia" w:hAnsiTheme="majorEastAsia" w:hint="eastAsia"/>
          <w:b/>
          <w:spacing w:val="10"/>
          <w:szCs w:val="24"/>
        </w:rPr>
        <w:t>分</w:t>
      </w:r>
      <w:r>
        <w:rPr>
          <w:rFonts w:asciiTheme="majorEastAsia" w:eastAsiaTheme="majorEastAsia" w:hAnsiTheme="majorEastAsia" w:hint="eastAsia"/>
          <w:b/>
          <w:spacing w:val="10"/>
          <w:szCs w:val="24"/>
        </w:rPr>
        <w:t xml:space="preserve">  </w:t>
      </w:r>
      <w:r>
        <w:rPr>
          <w:rFonts w:asciiTheme="majorEastAsia" w:eastAsiaTheme="majorEastAsia" w:hAnsiTheme="majorEastAsia" w:hint="eastAsia"/>
          <w:b/>
          <w:spacing w:val="10"/>
          <w:szCs w:val="24"/>
        </w:rPr>
        <w:t>工程量计算规格及单价说明</w:t>
      </w:r>
    </w:p>
    <w:p w:rsidR="00703D93" w:rsidRDefault="00666E7D">
      <w:pPr>
        <w:rPr>
          <w:kern w:val="1"/>
          <w:szCs w:val="24"/>
        </w:rPr>
      </w:pPr>
      <w:r>
        <w:rPr>
          <w:rFonts w:asciiTheme="majorEastAsia" w:eastAsiaTheme="majorEastAsia" w:hAnsiTheme="majorEastAsia" w:hint="eastAsia"/>
          <w:b/>
          <w:spacing w:val="10"/>
          <w:szCs w:val="24"/>
        </w:rPr>
        <w:t>1.</w:t>
      </w:r>
      <w:r>
        <w:rPr>
          <w:rFonts w:hint="eastAsia"/>
          <w:kern w:val="1"/>
          <w:szCs w:val="24"/>
        </w:rPr>
        <w:t>本工程预决算采用定额计价方式按实计算</w:t>
      </w:r>
      <w:r>
        <w:rPr>
          <w:rFonts w:hint="eastAsia"/>
          <w:kern w:val="1"/>
          <w:szCs w:val="24"/>
        </w:rPr>
        <w:t>。</w:t>
      </w:r>
    </w:p>
    <w:p w:rsidR="00703D93" w:rsidRDefault="00666E7D">
      <w:pPr>
        <w:rPr>
          <w:kern w:val="1"/>
          <w:szCs w:val="24"/>
        </w:rPr>
      </w:pPr>
      <w:r>
        <w:rPr>
          <w:rFonts w:hint="eastAsia"/>
          <w:b/>
          <w:bCs/>
          <w:kern w:val="1"/>
          <w:szCs w:val="24"/>
        </w:rPr>
        <w:t>2.</w:t>
      </w:r>
      <w:r>
        <w:rPr>
          <w:rFonts w:hint="eastAsia"/>
          <w:kern w:val="1"/>
          <w:szCs w:val="24"/>
        </w:rPr>
        <w:t>定额依据为</w:t>
      </w:r>
      <w:r>
        <w:rPr>
          <w:rFonts w:ascii="宋体" w:hAnsi="宋体" w:cs="宋体" w:hint="eastAsia"/>
          <w:kern w:val="1"/>
          <w:szCs w:val="24"/>
        </w:rPr>
        <w:t>《福建省安装工程消耗量定额》</w:t>
      </w:r>
      <w:r>
        <w:rPr>
          <w:rFonts w:ascii="宋体" w:hAnsi="宋体" w:cs="宋体"/>
          <w:kern w:val="1"/>
          <w:szCs w:val="24"/>
        </w:rPr>
        <w:t>(FJYD-301-2012</w:t>
      </w:r>
      <w:r>
        <w:rPr>
          <w:rFonts w:ascii="宋体" w:hAnsi="宋体" w:cs="宋体" w:hint="eastAsia"/>
          <w:kern w:val="1"/>
          <w:szCs w:val="24"/>
        </w:rPr>
        <w:t>～</w:t>
      </w:r>
      <w:r>
        <w:rPr>
          <w:rFonts w:ascii="宋体" w:hAnsi="宋体" w:cs="宋体"/>
          <w:kern w:val="1"/>
          <w:szCs w:val="24"/>
        </w:rPr>
        <w:t>FJYD-312-2012)</w:t>
      </w:r>
      <w:r>
        <w:rPr>
          <w:rFonts w:ascii="宋体" w:hAnsi="宋体" w:cs="宋体" w:hint="eastAsia"/>
          <w:kern w:val="1"/>
          <w:szCs w:val="24"/>
        </w:rPr>
        <w:t>，如果有涉及到土建定额，套用</w:t>
      </w:r>
      <w:r>
        <w:rPr>
          <w:rFonts w:ascii="宋体" w:hAnsi="宋体" w:cs="宋体" w:hint="eastAsia"/>
          <w:bCs/>
          <w:kern w:val="1"/>
          <w:szCs w:val="24"/>
        </w:rPr>
        <w:t>《福建省建筑工程消耗量定额》（</w:t>
      </w:r>
      <w:r>
        <w:rPr>
          <w:rFonts w:ascii="宋体" w:hAnsi="宋体" w:cs="宋体"/>
          <w:bCs/>
          <w:kern w:val="1"/>
          <w:szCs w:val="24"/>
        </w:rPr>
        <w:t>FJYD-101-2005</w:t>
      </w:r>
      <w:r>
        <w:rPr>
          <w:rFonts w:ascii="宋体" w:hAnsi="宋体" w:cs="宋体" w:hint="eastAsia"/>
          <w:bCs/>
          <w:kern w:val="1"/>
          <w:szCs w:val="24"/>
        </w:rPr>
        <w:t>）</w:t>
      </w:r>
      <w:r>
        <w:rPr>
          <w:rFonts w:hint="eastAsia"/>
          <w:kern w:val="1"/>
          <w:szCs w:val="24"/>
        </w:rPr>
        <w:t>及装饰工程套用《福建省建筑装饰装修工程消耗量定额》（</w:t>
      </w:r>
      <w:r>
        <w:rPr>
          <w:kern w:val="1"/>
          <w:szCs w:val="24"/>
        </w:rPr>
        <w:t>FJYD-201-2005</w:t>
      </w:r>
      <w:r>
        <w:rPr>
          <w:rFonts w:hint="eastAsia"/>
          <w:kern w:val="1"/>
          <w:szCs w:val="24"/>
        </w:rPr>
        <w:t>），采用《福建省建筑安装工程费用定额》（</w:t>
      </w:r>
      <w:r>
        <w:rPr>
          <w:rFonts w:hint="eastAsia"/>
          <w:kern w:val="1"/>
          <w:szCs w:val="24"/>
        </w:rPr>
        <w:t>2016</w:t>
      </w:r>
      <w:r>
        <w:rPr>
          <w:rFonts w:hint="eastAsia"/>
          <w:kern w:val="1"/>
          <w:szCs w:val="24"/>
        </w:rPr>
        <w:t>版）。</w:t>
      </w:r>
    </w:p>
    <w:p w:rsidR="00703D93" w:rsidRDefault="00666E7D">
      <w:pPr>
        <w:rPr>
          <w:rFonts w:ascii="宋体" w:hAnsi="宋体"/>
          <w:kern w:val="1"/>
          <w:szCs w:val="24"/>
        </w:rPr>
      </w:pPr>
      <w:r>
        <w:rPr>
          <w:rFonts w:hint="eastAsia"/>
          <w:b/>
          <w:bCs/>
          <w:kern w:val="1"/>
          <w:szCs w:val="24"/>
        </w:rPr>
        <w:t>3.</w:t>
      </w:r>
      <w:r>
        <w:rPr>
          <w:rFonts w:hint="eastAsia"/>
          <w:kern w:val="1"/>
          <w:szCs w:val="24"/>
        </w:rPr>
        <w:t>材料按照项目完成时接近项目地区的当月信息价，主要材料信息价没有的，</w:t>
      </w:r>
      <w:r>
        <w:rPr>
          <w:rFonts w:ascii="宋体" w:hAnsi="宋体" w:hint="eastAsia"/>
          <w:bCs/>
          <w:szCs w:val="24"/>
        </w:rPr>
        <w:t>乙方应以书面形式通知甲方，甲方经</w:t>
      </w:r>
      <w:r>
        <w:rPr>
          <w:rFonts w:ascii="宋体" w:hAnsi="宋体" w:hint="eastAsia"/>
          <w:spacing w:val="4"/>
          <w:szCs w:val="24"/>
        </w:rPr>
        <w:t>询得三明市货到工地付全款的含增值税材料单价</w:t>
      </w:r>
      <w:r>
        <w:rPr>
          <w:rFonts w:ascii="宋体" w:hAnsi="宋体" w:hint="eastAsia"/>
          <w:bCs/>
          <w:szCs w:val="24"/>
        </w:rPr>
        <w:t>（包括但不限于材料原价、运杂费、运输损耗、采购费、卸车费、材料增值税等）后回复定价通知书</w:t>
      </w:r>
      <w:r>
        <w:rPr>
          <w:rFonts w:ascii="宋体" w:hAnsi="宋体" w:hint="eastAsia"/>
          <w:b/>
          <w:spacing w:val="4"/>
          <w:szCs w:val="24"/>
        </w:rPr>
        <w:t>，</w:t>
      </w:r>
      <w:r>
        <w:rPr>
          <w:rFonts w:ascii="宋体" w:hAnsi="宋体" w:hint="eastAsia"/>
          <w:bCs/>
          <w:szCs w:val="24"/>
        </w:rPr>
        <w:t>乙方</w:t>
      </w:r>
      <w:r>
        <w:rPr>
          <w:rFonts w:ascii="宋体" w:hAnsi="宋体" w:hint="eastAsia"/>
          <w:spacing w:val="4"/>
          <w:szCs w:val="24"/>
        </w:rPr>
        <w:t>以甲方书面通知的价格为基数统一上</w:t>
      </w:r>
      <w:r>
        <w:rPr>
          <w:rFonts w:ascii="宋体" w:hAnsi="宋体" w:hint="eastAsia"/>
          <w:szCs w:val="24"/>
        </w:rPr>
        <w:t>浮</w:t>
      </w:r>
      <w:r>
        <w:rPr>
          <w:rFonts w:ascii="宋体" w:hAnsi="宋体" w:hint="eastAsia"/>
          <w:szCs w:val="24"/>
        </w:rPr>
        <w:t>多少</w:t>
      </w:r>
      <w:bookmarkStart w:id="0" w:name="_GoBack"/>
      <w:bookmarkEnd w:id="0"/>
      <w:r>
        <w:rPr>
          <w:rFonts w:ascii="宋体" w:hAnsi="宋体" w:hint="eastAsia"/>
          <w:szCs w:val="24"/>
        </w:rPr>
        <w:t>作为</w:t>
      </w:r>
      <w:r>
        <w:rPr>
          <w:rFonts w:ascii="宋体" w:hAnsi="宋体" w:hint="eastAsia"/>
          <w:bCs/>
          <w:szCs w:val="24"/>
        </w:rPr>
        <w:t>主材结算</w:t>
      </w:r>
      <w:r>
        <w:rPr>
          <w:rFonts w:ascii="宋体" w:hAnsi="宋体" w:hint="eastAsia"/>
          <w:szCs w:val="24"/>
        </w:rPr>
        <w:t>价格，（包括但不限于</w:t>
      </w:r>
      <w:r>
        <w:rPr>
          <w:rFonts w:ascii="宋体" w:hAnsi="宋体" w:hint="eastAsia"/>
          <w:bCs/>
          <w:szCs w:val="24"/>
        </w:rPr>
        <w:t>利润、检验试验费、二次搬运费、入库保管、材料运抵工地付全款垫款利息、管理费、风险费、建安增值税等一切费用），结算时不参与优惠下浮且不再计取任何其他费用，该部分材料工程量按竣工图计算后乘以主材定额消耗量计算，材料工程造价单列进行结算</w:t>
      </w:r>
      <w:r>
        <w:rPr>
          <w:rFonts w:ascii="宋体" w:hAnsi="宋体" w:hint="eastAsia"/>
          <w:kern w:val="1"/>
          <w:szCs w:val="24"/>
        </w:rPr>
        <w:t>。</w:t>
      </w:r>
    </w:p>
    <w:p w:rsidR="00703D93" w:rsidRDefault="00666E7D">
      <w:pPr>
        <w:rPr>
          <w:kern w:val="1"/>
          <w:szCs w:val="24"/>
        </w:rPr>
      </w:pPr>
      <w:r>
        <w:rPr>
          <w:rFonts w:ascii="宋体" w:hAnsi="宋体" w:hint="eastAsia"/>
          <w:b/>
          <w:bCs/>
          <w:kern w:val="1"/>
          <w:szCs w:val="24"/>
        </w:rPr>
        <w:t>4.</w:t>
      </w:r>
      <w:r>
        <w:rPr>
          <w:rFonts w:hint="eastAsia"/>
          <w:kern w:val="1"/>
          <w:szCs w:val="24"/>
        </w:rPr>
        <w:t>安装费用按以上规定的定额计价及合同优惠方式进行结算，执行合同签订之日时的政策文件</w:t>
      </w:r>
      <w:r>
        <w:rPr>
          <w:rFonts w:hint="eastAsia"/>
          <w:kern w:val="1"/>
          <w:szCs w:val="24"/>
        </w:rPr>
        <w:t>。</w:t>
      </w:r>
    </w:p>
    <w:p w:rsidR="00703D93" w:rsidRDefault="00666E7D">
      <w:pPr>
        <w:rPr>
          <w:rFonts w:hint="eastAsia"/>
          <w:kern w:val="1"/>
          <w:szCs w:val="24"/>
        </w:rPr>
      </w:pPr>
      <w:r>
        <w:rPr>
          <w:rFonts w:hint="eastAsia"/>
          <w:b/>
          <w:bCs/>
          <w:kern w:val="1"/>
          <w:szCs w:val="24"/>
        </w:rPr>
        <w:t>5.</w:t>
      </w:r>
      <w:r>
        <w:rPr>
          <w:rFonts w:hint="eastAsia"/>
          <w:kern w:val="1"/>
          <w:szCs w:val="24"/>
        </w:rPr>
        <w:t>本合同签订之日起如果有遇到新政策出台时，由于合同跨度较大，且为零星项</w:t>
      </w:r>
      <w:r>
        <w:rPr>
          <w:rFonts w:hint="eastAsia"/>
          <w:kern w:val="1"/>
          <w:szCs w:val="24"/>
        </w:rPr>
        <w:t>目，各个时间段的计价规则调整较麻烦，计价方式按本合同定额预决算不予以更改。</w:t>
      </w:r>
    </w:p>
    <w:p w:rsidR="00E16DE1" w:rsidRDefault="00E16DE1" w:rsidP="00E16DE1">
      <w:pPr>
        <w:spacing w:line="420" w:lineRule="exact"/>
        <w:rPr>
          <w:kern w:val="1"/>
          <w:szCs w:val="24"/>
        </w:rPr>
      </w:pPr>
      <w:r>
        <w:rPr>
          <w:rFonts w:hint="eastAsia"/>
          <w:kern w:val="1"/>
          <w:szCs w:val="24"/>
        </w:rPr>
        <w:t>6</w:t>
      </w:r>
      <w:r>
        <w:rPr>
          <w:rFonts w:hint="eastAsia"/>
          <w:kern w:val="1"/>
          <w:szCs w:val="24"/>
        </w:rPr>
        <w:t>、零星项目用工单价</w:t>
      </w:r>
      <w:r>
        <w:rPr>
          <w:kern w:val="1"/>
          <w:szCs w:val="24"/>
        </w:rPr>
        <w:t>：</w:t>
      </w:r>
      <w:r>
        <w:rPr>
          <w:rFonts w:hint="eastAsia"/>
          <w:kern w:val="1"/>
          <w:szCs w:val="24"/>
        </w:rPr>
        <w:t>以普工价</w:t>
      </w:r>
      <w:r>
        <w:rPr>
          <w:rFonts w:hint="eastAsia"/>
          <w:kern w:val="1"/>
          <w:szCs w:val="24"/>
        </w:rPr>
        <w:t>170</w:t>
      </w:r>
      <w:r>
        <w:rPr>
          <w:rFonts w:hint="eastAsia"/>
          <w:kern w:val="1"/>
          <w:szCs w:val="24"/>
        </w:rPr>
        <w:t>元</w:t>
      </w:r>
      <w:r>
        <w:rPr>
          <w:rFonts w:hint="eastAsia"/>
          <w:kern w:val="1"/>
          <w:szCs w:val="24"/>
        </w:rPr>
        <w:t>/</w:t>
      </w:r>
      <w:r>
        <w:rPr>
          <w:rFonts w:hint="eastAsia"/>
          <w:kern w:val="1"/>
          <w:szCs w:val="24"/>
        </w:rPr>
        <w:t>工日</w:t>
      </w:r>
      <w:r>
        <w:rPr>
          <w:kern w:val="1"/>
          <w:szCs w:val="24"/>
        </w:rPr>
        <w:t>、</w:t>
      </w:r>
      <w:r>
        <w:rPr>
          <w:rFonts w:hint="eastAsia"/>
          <w:kern w:val="1"/>
          <w:szCs w:val="24"/>
        </w:rPr>
        <w:t>技工价</w:t>
      </w:r>
      <w:r>
        <w:rPr>
          <w:rFonts w:hint="eastAsia"/>
          <w:kern w:val="1"/>
          <w:szCs w:val="24"/>
        </w:rPr>
        <w:t>260</w:t>
      </w:r>
      <w:r>
        <w:rPr>
          <w:rFonts w:hint="eastAsia"/>
          <w:kern w:val="1"/>
          <w:szCs w:val="24"/>
        </w:rPr>
        <w:t>元</w:t>
      </w:r>
      <w:r>
        <w:rPr>
          <w:rFonts w:hint="eastAsia"/>
          <w:kern w:val="1"/>
          <w:szCs w:val="24"/>
        </w:rPr>
        <w:t>/</w:t>
      </w:r>
      <w:r>
        <w:rPr>
          <w:rFonts w:hint="eastAsia"/>
          <w:kern w:val="1"/>
          <w:szCs w:val="24"/>
        </w:rPr>
        <w:t>工日计取。</w:t>
      </w:r>
    </w:p>
    <w:p w:rsidR="00E16DE1" w:rsidRPr="00E16DE1" w:rsidRDefault="00E16DE1">
      <w:pPr>
        <w:rPr>
          <w:rFonts w:asciiTheme="majorEastAsia" w:eastAsiaTheme="majorEastAsia" w:hAnsiTheme="majorEastAsia"/>
          <w:b/>
          <w:spacing w:val="10"/>
          <w:szCs w:val="24"/>
        </w:rPr>
      </w:pPr>
    </w:p>
    <w:sectPr w:rsidR="00E16DE1" w:rsidRPr="00E16DE1" w:rsidSect="00703D9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E7D" w:rsidRDefault="00666E7D" w:rsidP="00703D93">
      <w:r>
        <w:separator/>
      </w:r>
    </w:p>
  </w:endnote>
  <w:endnote w:type="continuationSeparator" w:id="1">
    <w:p w:rsidR="00666E7D" w:rsidRDefault="00666E7D" w:rsidP="00703D9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93" w:rsidRDefault="00703D9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03D93" w:rsidRDefault="00703D93">
                <w:pPr>
                  <w:pStyle w:val="a3"/>
                </w:pPr>
                <w:r>
                  <w:rPr>
                    <w:rFonts w:hint="eastAsia"/>
                  </w:rPr>
                  <w:fldChar w:fldCharType="begin"/>
                </w:r>
                <w:r w:rsidR="00666E7D">
                  <w:rPr>
                    <w:rFonts w:hint="eastAsia"/>
                  </w:rPr>
                  <w:instrText xml:space="preserve"> PAGE  \* MERGEFORMAT </w:instrText>
                </w:r>
                <w:r>
                  <w:rPr>
                    <w:rFonts w:hint="eastAsia"/>
                  </w:rPr>
                  <w:fldChar w:fldCharType="separate"/>
                </w:r>
                <w:r w:rsidR="00E16DE1">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E7D" w:rsidRDefault="00666E7D" w:rsidP="00703D93">
      <w:r>
        <w:separator/>
      </w:r>
    </w:p>
  </w:footnote>
  <w:footnote w:type="continuationSeparator" w:id="1">
    <w:p w:rsidR="00666E7D" w:rsidRDefault="00666E7D" w:rsidP="00703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93" w:rsidRDefault="00666E7D">
    <w:pPr>
      <w:pStyle w:val="a4"/>
      <w:rPr>
        <w:color w:val="5B9BD5" w:themeColor="accent1"/>
        <w:sz w:val="24"/>
        <w:szCs w:val="24"/>
      </w:rPr>
    </w:pPr>
    <w:r>
      <w:rPr>
        <w:rFonts w:hint="eastAsia"/>
        <w:color w:val="5B9BD5" w:themeColor="accent1"/>
        <w:sz w:val="24"/>
        <w:szCs w:val="24"/>
      </w:rPr>
      <w:t>【新材料防腐保温】项目</w:t>
    </w:r>
  </w:p>
  <w:p w:rsidR="00703D93" w:rsidRDefault="00666E7D">
    <w:pPr>
      <w:pStyle w:val="a4"/>
      <w:rPr>
        <w:color w:val="5B9BD5" w:themeColor="accent1"/>
        <w:sz w:val="24"/>
        <w:szCs w:val="24"/>
        <w:u w:val="single"/>
      </w:rPr>
    </w:pPr>
    <w:r>
      <w:rPr>
        <w:rFonts w:hint="eastAsia"/>
        <w:color w:val="5B9BD5" w:themeColor="accent1"/>
        <w:sz w:val="24"/>
        <w:szCs w:val="24"/>
        <w:u w:val="single"/>
      </w:rPr>
      <w:t>新材料零星防腐保温工程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F6F17"/>
    <w:multiLevelType w:val="singleLevel"/>
    <w:tmpl w:val="4AEF6F17"/>
    <w:lvl w:ilvl="0">
      <w:start w:val="1"/>
      <w:numFmt w:val="lowerLetter"/>
      <w:lvlText w:val="%1."/>
      <w:lvlJc w:val="left"/>
      <w:pPr>
        <w:tabs>
          <w:tab w:val="left" w:pos="1192"/>
        </w:tabs>
        <w:ind w:left="1192" w:hanging="720"/>
      </w:pPr>
      <w:rPr>
        <w:rFonts w:ascii="宋体" w:eastAsia="宋体" w:hint="eastAsia"/>
        <w:b w:val="0"/>
        <w:i w:val="0"/>
        <w:sz w:val="24"/>
      </w:rPr>
    </w:lvl>
  </w:abstractNum>
  <w:abstractNum w:abstractNumId="1">
    <w:nsid w:val="4CE4067F"/>
    <w:multiLevelType w:val="singleLevel"/>
    <w:tmpl w:val="4CE4067F"/>
    <w:lvl w:ilvl="0">
      <w:start w:val="1"/>
      <w:numFmt w:val="decimal"/>
      <w:lvlText w:val="%1."/>
      <w:lvlJc w:val="left"/>
      <w:pPr>
        <w:tabs>
          <w:tab w:val="left" w:pos="425"/>
        </w:tabs>
        <w:ind w:left="425" w:hanging="425"/>
      </w:pPr>
      <w:rPr>
        <w:rFonts w:ascii="宋体" w:eastAsia="宋体" w:hint="eastAsia"/>
        <w:b/>
        <w:i w:val="0"/>
        <w:sz w:val="24"/>
      </w:rPr>
    </w:lvl>
  </w:abstractNum>
  <w:abstractNum w:abstractNumId="2">
    <w:nsid w:val="54754A06"/>
    <w:multiLevelType w:val="singleLevel"/>
    <w:tmpl w:val="54754A06"/>
    <w:lvl w:ilvl="0">
      <w:start w:val="1"/>
      <w:numFmt w:val="lowerLetter"/>
      <w:lvlText w:val="%1."/>
      <w:lvlJc w:val="left"/>
      <w:pPr>
        <w:tabs>
          <w:tab w:val="left" w:pos="927"/>
        </w:tabs>
        <w:ind w:left="425" w:firstLine="142"/>
      </w:pPr>
      <w:rPr>
        <w:rFonts w:ascii="宋体" w:eastAsia="宋体" w:hint="eastAsia"/>
        <w:b w:val="0"/>
        <w:i w:val="0"/>
        <w:sz w:val="24"/>
      </w:rPr>
    </w:lvl>
  </w:abstractNum>
  <w:abstractNum w:abstractNumId="3">
    <w:nsid w:val="5982F7DA"/>
    <w:multiLevelType w:val="singleLevel"/>
    <w:tmpl w:val="5982F7DA"/>
    <w:lvl w:ilvl="0">
      <w:numFmt w:val="none"/>
      <w:lvlText w:val=""/>
      <w:lvlJc w:val="left"/>
      <w:pPr>
        <w:tabs>
          <w:tab w:val="num" w:pos="360"/>
        </w:tabs>
      </w:pPr>
    </w:lvl>
  </w:abstractNum>
  <w:abstractNum w:abstractNumId="4">
    <w:nsid w:val="5A0D36D9"/>
    <w:multiLevelType w:val="singleLevel"/>
    <w:tmpl w:val="5A0D36D9"/>
    <w:lvl w:ilvl="0">
      <w:start w:val="3"/>
      <w:numFmt w:val="chineseCounting"/>
      <w:suff w:val="nothing"/>
      <w:lvlText w:val="第%1部"/>
      <w:lvlJc w:val="left"/>
    </w:lvl>
  </w:abstractNum>
  <w:abstractNum w:abstractNumId="5">
    <w:nsid w:val="651E6BD6"/>
    <w:multiLevelType w:val="multilevel"/>
    <w:tmpl w:val="651E6BD6"/>
    <w:lvl w:ilvl="0">
      <w:start w:val="1"/>
      <w:numFmt w:val="decimal"/>
      <w:lvlText w:val="%1."/>
      <w:lvlJc w:val="left"/>
      <w:pPr>
        <w:tabs>
          <w:tab w:val="left" w:pos="425"/>
        </w:tabs>
        <w:ind w:left="600" w:hanging="600"/>
      </w:pPr>
      <w:rPr>
        <w:rFonts w:ascii="Arial" w:eastAsia="宋体" w:hAnsi="Arial" w:cs="Arial" w:hint="default"/>
        <w:b/>
        <w:i w:val="0"/>
        <w:sz w:val="22"/>
        <w:szCs w:val="22"/>
      </w:rPr>
    </w:lvl>
    <w:lvl w:ilvl="1">
      <w:start w:val="1"/>
      <w:numFmt w:val="bullet"/>
      <w:lvlText w:val=""/>
      <w:lvlJc w:val="left"/>
      <w:pPr>
        <w:tabs>
          <w:tab w:val="left" w:pos="425"/>
        </w:tabs>
        <w:ind w:left="600" w:hanging="600"/>
      </w:pPr>
      <w:rPr>
        <w:rFonts w:ascii="Wingdings" w:hAnsi="Wingdings" w:hint="default"/>
        <w:b w:val="0"/>
        <w:i w:val="0"/>
        <w:sz w:val="22"/>
        <w:szCs w:val="22"/>
        <w:u w:val="none"/>
      </w:rPr>
    </w:lvl>
    <w:lvl w:ilvl="2">
      <w:start w:val="1"/>
      <w:numFmt w:val="decimalZero"/>
      <w:lvlText w:val="%1.%2.%3"/>
      <w:lvlJc w:val="left"/>
      <w:pPr>
        <w:tabs>
          <w:tab w:val="left" w:pos="851"/>
        </w:tabs>
        <w:ind w:left="1026" w:hanging="600"/>
      </w:pPr>
      <w:rPr>
        <w:rFonts w:eastAsia="宋体" w:hint="eastAsia"/>
        <w:b w:val="0"/>
        <w:i w:val="0"/>
        <w:sz w:val="24"/>
        <w:u w:val="none"/>
      </w:rPr>
    </w:lvl>
    <w:lvl w:ilvl="3">
      <w:start w:val="1"/>
      <w:numFmt w:val="decimalZero"/>
      <w:lvlText w:val="%1.%2.%3.%4"/>
      <w:lvlJc w:val="left"/>
      <w:pPr>
        <w:tabs>
          <w:tab w:val="left" w:pos="425"/>
        </w:tabs>
        <w:ind w:left="600" w:hanging="600"/>
      </w:pPr>
      <w:rPr>
        <w:rFonts w:hint="eastAsia"/>
        <w:u w:val="none"/>
      </w:rPr>
    </w:lvl>
    <w:lvl w:ilvl="4">
      <w:start w:val="1"/>
      <w:numFmt w:val="decimal"/>
      <w:lvlText w:val="%1.%2.%3.%4.%5"/>
      <w:lvlJc w:val="left"/>
      <w:pPr>
        <w:tabs>
          <w:tab w:val="left" w:pos="425"/>
        </w:tabs>
        <w:ind w:left="600" w:hanging="600"/>
      </w:pPr>
      <w:rPr>
        <w:rFonts w:hint="eastAsia"/>
        <w:u w:val="none"/>
      </w:rPr>
    </w:lvl>
    <w:lvl w:ilvl="5">
      <w:start w:val="1"/>
      <w:numFmt w:val="decimal"/>
      <w:lvlText w:val="%1.%2.%3.%4.%5.%6"/>
      <w:lvlJc w:val="left"/>
      <w:pPr>
        <w:tabs>
          <w:tab w:val="left" w:pos="425"/>
        </w:tabs>
        <w:ind w:left="600" w:hanging="600"/>
      </w:pPr>
      <w:rPr>
        <w:rFonts w:hint="eastAsia"/>
        <w:u w:val="none"/>
      </w:rPr>
    </w:lvl>
    <w:lvl w:ilvl="6">
      <w:start w:val="1"/>
      <w:numFmt w:val="decimal"/>
      <w:lvlText w:val="%1.%2.%3.%4.%5.%6.%7"/>
      <w:lvlJc w:val="left"/>
      <w:pPr>
        <w:tabs>
          <w:tab w:val="left" w:pos="425"/>
        </w:tabs>
        <w:ind w:left="600" w:hanging="600"/>
      </w:pPr>
      <w:rPr>
        <w:rFonts w:hint="eastAsia"/>
        <w:u w:val="none"/>
      </w:rPr>
    </w:lvl>
    <w:lvl w:ilvl="7">
      <w:start w:val="1"/>
      <w:numFmt w:val="decimal"/>
      <w:lvlText w:val="%1.%2.%3.%4.%5.%6.%7.%8"/>
      <w:lvlJc w:val="left"/>
      <w:pPr>
        <w:tabs>
          <w:tab w:val="left" w:pos="425"/>
        </w:tabs>
        <w:ind w:left="600" w:hanging="600"/>
      </w:pPr>
      <w:rPr>
        <w:rFonts w:hint="eastAsia"/>
        <w:u w:val="none"/>
      </w:rPr>
    </w:lvl>
    <w:lvl w:ilvl="8">
      <w:start w:val="1"/>
      <w:numFmt w:val="decimal"/>
      <w:lvlText w:val="%1.%2.%3.%4.%5.%6.%7.%8.%9"/>
      <w:lvlJc w:val="left"/>
      <w:pPr>
        <w:tabs>
          <w:tab w:val="left" w:pos="425"/>
        </w:tabs>
        <w:ind w:left="600" w:hanging="600"/>
      </w:pPr>
      <w:rPr>
        <w:rFonts w:hint="eastAsia"/>
        <w:u w:val="none"/>
      </w:rPr>
    </w:lvl>
  </w:abstractNum>
  <w:num w:numId="1">
    <w:abstractNumId w:val="5"/>
  </w:num>
  <w:num w:numId="2">
    <w:abstractNumId w:val="0"/>
    <w:lvlOverride w:ilvl="0">
      <w:startOverride w:val="1"/>
    </w:lvlOverride>
  </w:num>
  <w:num w:numId="3">
    <w:abstractNumId w:val="1"/>
    <w:lvlOverride w:ilvl="0">
      <w:startOverride w:val="1"/>
    </w:lvlOverride>
  </w:num>
  <w:num w:numId="4">
    <w:abstractNumId w:val="2"/>
    <w:lvlOverride w:ilvl="0">
      <w:startOverride w:val="1"/>
    </w:lvlOverride>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D93"/>
    <w:rsid w:val="00666E7D"/>
    <w:rsid w:val="00703D93"/>
    <w:rsid w:val="00E16DE1"/>
    <w:rsid w:val="0BCA09DA"/>
    <w:rsid w:val="10B3704C"/>
    <w:rsid w:val="19DF5CAF"/>
    <w:rsid w:val="3E5F0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D93"/>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D93"/>
    <w:pPr>
      <w:tabs>
        <w:tab w:val="center" w:pos="4153"/>
        <w:tab w:val="right" w:pos="8306"/>
      </w:tabs>
      <w:snapToGrid w:val="0"/>
      <w:jc w:val="left"/>
    </w:pPr>
    <w:rPr>
      <w:sz w:val="18"/>
    </w:rPr>
  </w:style>
  <w:style w:type="paragraph" w:styleId="a4">
    <w:name w:val="header"/>
    <w:basedOn w:val="a"/>
    <w:qFormat/>
    <w:rsid w:val="00703D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703D93"/>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ATU</cp:lastModifiedBy>
  <cp:revision>2</cp:revision>
  <dcterms:created xsi:type="dcterms:W3CDTF">2014-10-29T12:08:00Z</dcterms:created>
  <dcterms:modified xsi:type="dcterms:W3CDTF">2017-11-30T02:37:00Z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